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4" w:rsidRDefault="00484F84" w:rsidP="00CB7B09">
      <w:pPr>
        <w:pStyle w:val="Heading7"/>
        <w:numPr>
          <w:ilvl w:val="0"/>
          <w:numId w:val="0"/>
        </w:numPr>
        <w:ind w:left="360" w:hanging="360"/>
        <w:rPr>
          <w:rFonts w:ascii="Arial" w:hAnsi="Arial" w:cs="Arial"/>
          <w:b/>
        </w:rPr>
      </w:pPr>
      <w:r w:rsidRPr="004E5C5C">
        <w:rPr>
          <w:rFonts w:ascii="Arial" w:hAnsi="Arial" w:cs="Arial"/>
          <w:b/>
        </w:rPr>
        <w:t>ANALYSIS POLICIES</w:t>
      </w:r>
    </w:p>
    <w:p w:rsidR="00CB7B09" w:rsidRPr="00CB7B09" w:rsidRDefault="00CB7B09" w:rsidP="00CB7B09">
      <w:r>
        <w:t>09 Feb 2015</w:t>
      </w:r>
    </w:p>
    <w:p w:rsidR="00484F84" w:rsidRDefault="00484F84" w:rsidP="00484F84">
      <w:pPr>
        <w:pStyle w:val="FootnoteText"/>
        <w:outlineLvl w:val="0"/>
        <w:rPr>
          <w:rFonts w:ascii="Arial" w:hAnsi="Arial" w:cs="Arial"/>
          <w:snapToGrid/>
          <w:szCs w:val="24"/>
        </w:rPr>
      </w:pPr>
    </w:p>
    <w:p w:rsidR="00484F84" w:rsidRDefault="00484F84" w:rsidP="00484F84">
      <w:pPr>
        <w:pStyle w:val="FootnoteText"/>
        <w:outlineLvl w:val="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The purpose of this</w:t>
      </w:r>
      <w:r w:rsidR="00CB7B09">
        <w:rPr>
          <w:rFonts w:ascii="Arial" w:hAnsi="Arial" w:cs="Arial"/>
          <w:snapToGrid/>
          <w:szCs w:val="24"/>
        </w:rPr>
        <w:t xml:space="preserve"> document</w:t>
      </w:r>
      <w:r>
        <w:rPr>
          <w:rFonts w:ascii="Arial" w:hAnsi="Arial" w:cs="Arial"/>
          <w:snapToGrid/>
          <w:szCs w:val="24"/>
        </w:rPr>
        <w:t xml:space="preserve"> is to establish guidelines for data analysis </w:t>
      </w:r>
      <w:r w:rsidR="00CB7B09">
        <w:rPr>
          <w:rFonts w:ascii="Arial" w:hAnsi="Arial" w:cs="Arial"/>
          <w:snapToGrid/>
          <w:szCs w:val="24"/>
        </w:rPr>
        <w:t xml:space="preserve">for the </w:t>
      </w:r>
      <w:r w:rsidR="00CB7B09" w:rsidRPr="00CB7B09">
        <w:rPr>
          <w:rFonts w:ascii="Arial" w:hAnsi="Arial" w:cs="Arial"/>
          <w:b/>
          <w:i/>
          <w:snapToGrid/>
          <w:szCs w:val="24"/>
        </w:rPr>
        <w:t>EXAMPLE project</w:t>
      </w:r>
      <w:r>
        <w:rPr>
          <w:rFonts w:ascii="Arial" w:hAnsi="Arial" w:cs="Arial"/>
          <w:snapToGrid/>
          <w:szCs w:val="24"/>
        </w:rPr>
        <w:t xml:space="preserve">.  The principal analyses of primary and secondary outcomes employ the "intent-to-treat" approach.  The intent-to-treat analyses include all randomized patients with at least one post-baseline </w:t>
      </w:r>
      <w:r w:rsidR="00BA59D1" w:rsidRPr="00BA59D1">
        <w:rPr>
          <w:rFonts w:ascii="Arial" w:hAnsi="Arial" w:cs="Arial"/>
          <w:i/>
          <w:snapToGrid/>
          <w:szCs w:val="24"/>
        </w:rPr>
        <w:t>ANALYTE</w:t>
      </w:r>
      <w:r>
        <w:rPr>
          <w:rFonts w:ascii="Arial" w:hAnsi="Arial" w:cs="Arial"/>
          <w:snapToGrid/>
          <w:szCs w:val="24"/>
        </w:rPr>
        <w:t xml:space="preserve"> measurement and who have taken at least one dose of study medication.  All patients are included in their randomly assigned treatment group; treatment group assignment is not altered based on the patient’s adherence to the assigned treatment regimen.  </w:t>
      </w:r>
    </w:p>
    <w:p w:rsidR="00484F84" w:rsidRDefault="00484F84" w:rsidP="00484F84">
      <w:pPr>
        <w:pStyle w:val="FootnoteText"/>
        <w:ind w:firstLine="360"/>
        <w:outlineLvl w:val="0"/>
        <w:rPr>
          <w:rFonts w:ascii="Arial" w:hAnsi="Arial" w:cs="Arial"/>
          <w:snapToGrid/>
          <w:szCs w:val="24"/>
        </w:rPr>
      </w:pPr>
    </w:p>
    <w:p w:rsidR="00484F84" w:rsidRDefault="00484F84" w:rsidP="00484F84">
      <w:pPr>
        <w:pStyle w:val="FootnoteText"/>
        <w:outlineLvl w:val="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All statistical tests are two-sided with the overall significance level of</w:t>
      </w:r>
      <w:r w:rsidR="00BA59D1">
        <w:rPr>
          <w:rFonts w:ascii="Arial" w:hAnsi="Arial" w:cs="Arial"/>
          <w:snapToGrid/>
          <w:szCs w:val="24"/>
        </w:rPr>
        <w:t xml:space="preserve"> the primary outcome α</w:t>
      </w:r>
      <w:r>
        <w:rPr>
          <w:rFonts w:ascii="Arial" w:hAnsi="Arial" w:cs="Arial"/>
          <w:snapToGrid/>
          <w:szCs w:val="24"/>
        </w:rPr>
        <w:t xml:space="preserve">=0.05.  </w:t>
      </w:r>
    </w:p>
    <w:p w:rsidR="00484F84" w:rsidRDefault="00484F84" w:rsidP="00484F84">
      <w:pPr>
        <w:pStyle w:val="FootnoteText"/>
        <w:outlineLvl w:val="0"/>
        <w:rPr>
          <w:rFonts w:ascii="Arial" w:hAnsi="Arial" w:cs="Arial"/>
          <w:snapToGrid/>
          <w:szCs w:val="24"/>
        </w:rPr>
      </w:pPr>
    </w:p>
    <w:p w:rsidR="00484F84" w:rsidRDefault="00484F84" w:rsidP="00484F84">
      <w:pPr>
        <w:spacing w:before="120"/>
        <w:rPr>
          <w:rFonts w:cs="Arial"/>
        </w:rPr>
      </w:pPr>
      <w:r>
        <w:rPr>
          <w:rFonts w:cs="Arial"/>
        </w:rPr>
        <w:t xml:space="preserve">All </w:t>
      </w:r>
      <w:r w:rsidR="00CB7B09" w:rsidRPr="00BA59D1">
        <w:rPr>
          <w:rFonts w:cs="Arial"/>
          <w:b/>
          <w:i/>
        </w:rPr>
        <w:t>EXAMPLE study</w:t>
      </w:r>
      <w:r>
        <w:rPr>
          <w:rFonts w:cs="Arial"/>
        </w:rPr>
        <w:t xml:space="preserve"> manuscripts will have an analysis plan, data tables and figures, manuscript drafts, correspondence to/from journals.  </w:t>
      </w:r>
    </w:p>
    <w:p w:rsidR="00484F84" w:rsidRDefault="00484F84" w:rsidP="00484F84">
      <w:pPr>
        <w:spacing w:before="120"/>
        <w:rPr>
          <w:rFonts w:cs="Arial"/>
          <w:b/>
          <w:bCs/>
        </w:rPr>
      </w:pPr>
    </w:p>
    <w:tbl>
      <w:tblPr>
        <w:tblW w:w="885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/>
      </w:tblPr>
      <w:tblGrid>
        <w:gridCol w:w="2053"/>
        <w:gridCol w:w="6803"/>
      </w:tblGrid>
      <w:tr w:rsidR="00484F84" w:rsidTr="00927834">
        <w:trPr>
          <w:tblHeader/>
        </w:trPr>
        <w:tc>
          <w:tcPr>
            <w:tcW w:w="2053" w:type="dxa"/>
            <w:tcBorders>
              <w:bottom w:val="single" w:sz="6" w:space="0" w:color="008000"/>
            </w:tcBorders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Topic</w:t>
            </w:r>
          </w:p>
        </w:tc>
        <w:tc>
          <w:tcPr>
            <w:tcW w:w="6803" w:type="dxa"/>
            <w:tcBorders>
              <w:bottom w:val="single" w:sz="6" w:space="0" w:color="008000"/>
            </w:tcBorders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Policy</w:t>
            </w:r>
          </w:p>
        </w:tc>
      </w:tr>
      <w:tr w:rsidR="00484F84" w:rsidTr="00927834">
        <w:tc>
          <w:tcPr>
            <w:tcW w:w="2053" w:type="dxa"/>
            <w:tcBorders>
              <w:top w:val="single" w:sz="6" w:space="0" w:color="008000"/>
            </w:tcBorders>
          </w:tcPr>
          <w:p w:rsidR="00484F84" w:rsidRDefault="00484F84" w:rsidP="0092783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Analysis Plan</w:t>
            </w:r>
          </w:p>
        </w:tc>
        <w:tc>
          <w:tcPr>
            <w:tcW w:w="6803" w:type="dxa"/>
            <w:tcBorders>
              <w:top w:val="single" w:sz="6" w:space="0" w:color="008000"/>
            </w:tcBorders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 analysis plan will be written for each paper proposal.  Analysis will begin after the proposal has been approved by the Executive Committee.</w:t>
            </w:r>
          </w:p>
        </w:tc>
      </w:tr>
      <w:tr w:rsidR="00484F84" w:rsidTr="00927834"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</w:p>
        </w:tc>
        <w:tc>
          <w:tcPr>
            <w:tcW w:w="6803" w:type="dxa"/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</w:rPr>
                  <w:t>Coordinating</w:t>
                </w:r>
              </w:smartTag>
              <w:r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</w:rPr>
                  <w:t>Center</w:t>
                </w:r>
              </w:smartTag>
            </w:smartTag>
            <w:r>
              <w:rPr>
                <w:rFonts w:cs="Arial"/>
              </w:rPr>
              <w:t xml:space="preserve"> staff will revise the plan, adding a description of the statistical methods and the availability of the data items required.</w:t>
            </w:r>
          </w:p>
        </w:tc>
      </w:tr>
      <w:tr w:rsidR="00484F84" w:rsidTr="00927834">
        <w:trPr>
          <w:cantSplit/>
        </w:trPr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</w:p>
        </w:tc>
        <w:tc>
          <w:tcPr>
            <w:tcW w:w="6803" w:type="dxa"/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Deviations from the original approved analysis plan will be added to the plan to create a new version of the analysis plan document.  </w:t>
            </w:r>
          </w:p>
        </w:tc>
      </w:tr>
      <w:tr w:rsidR="00484F84" w:rsidTr="00927834"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</w:p>
        </w:tc>
        <w:tc>
          <w:tcPr>
            <w:tcW w:w="6803" w:type="dxa"/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Significant changes to the original plan may have to be approved by the executive committee.</w:t>
            </w:r>
          </w:p>
        </w:tc>
      </w:tr>
      <w:tr w:rsidR="00484F84" w:rsidTr="00927834"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Analysis methods</w:t>
            </w:r>
          </w:p>
        </w:tc>
        <w:tc>
          <w:tcPr>
            <w:tcW w:w="6803" w:type="dxa"/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Analysis will adhere to original design using methods appropriate for randomized clinical trials.</w:t>
            </w:r>
          </w:p>
        </w:tc>
      </w:tr>
      <w:tr w:rsidR="00484F84" w:rsidTr="00927834"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</w:p>
        </w:tc>
        <w:tc>
          <w:tcPr>
            <w:tcW w:w="6803" w:type="dxa"/>
          </w:tcPr>
          <w:p w:rsidR="00484F84" w:rsidRDefault="00484F84" w:rsidP="00CB7B09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All analyses comparing the </w:t>
            </w:r>
            <w:r w:rsidR="00CB7B09" w:rsidRPr="00BA59D1">
              <w:rPr>
                <w:rFonts w:cs="Arial"/>
                <w:b/>
                <w:i/>
              </w:rPr>
              <w:t>EXAMPLE study</w:t>
            </w:r>
            <w:r>
              <w:rPr>
                <w:rFonts w:cs="Arial"/>
              </w:rPr>
              <w:t xml:space="preserve"> treatment groups will be conducted under the principle of intention-to-treat, with all patients included in their originally assigned </w:t>
            </w:r>
            <w:r w:rsidR="00CB7B09">
              <w:rPr>
                <w:rFonts w:cs="Arial"/>
              </w:rPr>
              <w:t xml:space="preserve">EXAMPLE study </w:t>
            </w:r>
            <w:r>
              <w:rPr>
                <w:rFonts w:cs="Arial"/>
              </w:rPr>
              <w:t>treatment group.</w:t>
            </w:r>
          </w:p>
        </w:tc>
      </w:tr>
      <w:tr w:rsidR="00484F84" w:rsidTr="00927834"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</w:p>
        </w:tc>
        <w:tc>
          <w:tcPr>
            <w:tcW w:w="6803" w:type="dxa"/>
            <w:tcBorders>
              <w:bottom w:val="nil"/>
            </w:tcBorders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Statistical methods that require </w:t>
            </w:r>
            <w:r w:rsidRPr="00C06711">
              <w:rPr>
                <w:rFonts w:cs="Arial"/>
                <w:u w:val="single"/>
              </w:rPr>
              <w:t xml:space="preserve">deletion of subjects or visits are to be avoided as they break the randomization and introduce biases.  </w:t>
            </w:r>
          </w:p>
        </w:tc>
      </w:tr>
      <w:tr w:rsidR="00484F84" w:rsidTr="00927834">
        <w:tc>
          <w:tcPr>
            <w:tcW w:w="2053" w:type="dxa"/>
            <w:tcBorders>
              <w:right w:val="nil"/>
            </w:tcBorders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Analyses will either 1) be conducted separately by treatment group or 2) incorporate treatment effects.  </w:t>
            </w:r>
          </w:p>
        </w:tc>
      </w:tr>
      <w:tr w:rsidR="00484F84" w:rsidTr="00927834">
        <w:trPr>
          <w:cantSplit/>
        </w:trPr>
        <w:tc>
          <w:tcPr>
            <w:tcW w:w="2053" w:type="dxa"/>
            <w:tcBorders>
              <w:right w:val="nil"/>
            </w:tcBorders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Subgroups should be defined from baseline characteristics rather than outcomes</w:t>
            </w:r>
            <w:proofErr w:type="gramStart"/>
            <w:r>
              <w:rPr>
                <w:rFonts w:cs="Arial"/>
              </w:rPr>
              <w:t>..</w:t>
            </w:r>
            <w:proofErr w:type="gramEnd"/>
          </w:p>
        </w:tc>
      </w:tr>
      <w:tr w:rsidR="00484F84" w:rsidTr="00927834"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Data issues</w:t>
            </w:r>
          </w:p>
        </w:tc>
        <w:tc>
          <w:tcPr>
            <w:tcW w:w="6803" w:type="dxa"/>
            <w:tcBorders>
              <w:top w:val="nil"/>
            </w:tcBorders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Extra data collection.  Papers are viable when based on the </w:t>
            </w:r>
            <w:r>
              <w:rPr>
                <w:rFonts w:cs="Arial"/>
              </w:rPr>
              <w:lastRenderedPageBreak/>
              <w:t>data collected prospectively during the study.</w:t>
            </w:r>
          </w:p>
        </w:tc>
      </w:tr>
      <w:tr w:rsidR="00484F84" w:rsidTr="00927834"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</w:p>
        </w:tc>
        <w:tc>
          <w:tcPr>
            <w:tcW w:w="6803" w:type="dxa"/>
          </w:tcPr>
          <w:p w:rsidR="00484F84" w:rsidRDefault="00484F84" w:rsidP="00484F84">
            <w:pPr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Papers should acknowledge deficiencies in the data collected rather than requiring additional retrospective data collection.</w:t>
            </w:r>
          </w:p>
        </w:tc>
      </w:tr>
      <w:tr w:rsidR="00484F84" w:rsidTr="00927834"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Conventions</w:t>
            </w:r>
          </w:p>
        </w:tc>
        <w:tc>
          <w:tcPr>
            <w:tcW w:w="6803" w:type="dxa"/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Significance.  </w:t>
            </w:r>
            <w:r>
              <w:rPr>
                <w:rFonts w:cs="Arial"/>
                <w:szCs w:val="22"/>
              </w:rPr>
              <w:t>All results that are nominally significant at the 0.05 level will be indicated.  Significance levels for tests including interactions will be stated in the analysis plan.</w:t>
            </w:r>
          </w:p>
        </w:tc>
      </w:tr>
      <w:tr w:rsidR="00484F84" w:rsidTr="00927834"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</w:p>
        </w:tc>
        <w:tc>
          <w:tcPr>
            <w:tcW w:w="6803" w:type="dxa"/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Multiple testing.  </w:t>
            </w:r>
            <w:r>
              <w:rPr>
                <w:rFonts w:cs="Arial"/>
                <w:szCs w:val="22"/>
              </w:rPr>
              <w:t>Hochberg’s (1988)</w:t>
            </w:r>
            <w:r>
              <w:rPr>
                <w:rFonts w:cs="Arial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szCs w:val="22"/>
              </w:rPr>
              <w:t xml:space="preserve">improved </w:t>
            </w:r>
            <w:proofErr w:type="spellStart"/>
            <w:r>
              <w:rPr>
                <w:rFonts w:cs="Arial"/>
                <w:szCs w:val="22"/>
              </w:rPr>
              <w:t>Bonferroni</w:t>
            </w:r>
            <w:proofErr w:type="spellEnd"/>
            <w:r>
              <w:rPr>
                <w:rFonts w:cs="Arial"/>
                <w:szCs w:val="22"/>
              </w:rPr>
              <w:t xml:space="preserve"> procedure will be used to adjust for multiple comparisons where appropriate.  The adjusted p-value will be reported and will be significant at the 0.05 level.</w:t>
            </w:r>
          </w:p>
        </w:tc>
      </w:tr>
      <w:tr w:rsidR="00484F84" w:rsidTr="00927834"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Reporting</w:t>
            </w:r>
          </w:p>
        </w:tc>
        <w:tc>
          <w:tcPr>
            <w:tcW w:w="6803" w:type="dxa"/>
          </w:tcPr>
          <w:p w:rsidR="00484F84" w:rsidRDefault="00484F84" w:rsidP="00BA59D1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Tables.  Groups will be presented in the following order: Placebo, </w:t>
            </w:r>
            <w:r w:rsidR="00BA59D1">
              <w:rPr>
                <w:rFonts w:cs="Arial"/>
              </w:rPr>
              <w:t>Dose 1, Dose 2, and Dose 3</w:t>
            </w:r>
            <w:r>
              <w:rPr>
                <w:rFonts w:cs="Arial"/>
              </w:rPr>
              <w:t>.</w:t>
            </w:r>
          </w:p>
        </w:tc>
      </w:tr>
      <w:tr w:rsidR="00484F84" w:rsidTr="00927834">
        <w:tc>
          <w:tcPr>
            <w:tcW w:w="2053" w:type="dxa"/>
          </w:tcPr>
          <w:p w:rsidR="00484F84" w:rsidRDefault="00484F84" w:rsidP="00927834">
            <w:pPr>
              <w:spacing w:before="120"/>
              <w:rPr>
                <w:rFonts w:cs="Arial"/>
              </w:rPr>
            </w:pPr>
          </w:p>
        </w:tc>
        <w:tc>
          <w:tcPr>
            <w:tcW w:w="6803" w:type="dxa"/>
          </w:tcPr>
          <w:p w:rsidR="00484F84" w:rsidRDefault="00484F84" w:rsidP="00484F84">
            <w:pPr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Categorization.  Standard categorizations will be established.  </w:t>
            </w:r>
          </w:p>
        </w:tc>
      </w:tr>
    </w:tbl>
    <w:p w:rsidR="00DD01EE" w:rsidRDefault="00DD01EE"/>
    <w:sectPr w:rsidR="00DD01EE" w:rsidSect="00DD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09" w:rsidRDefault="007D3F09" w:rsidP="00484F84">
      <w:r>
        <w:separator/>
      </w:r>
    </w:p>
  </w:endnote>
  <w:endnote w:type="continuationSeparator" w:id="0">
    <w:p w:rsidR="007D3F09" w:rsidRDefault="007D3F09" w:rsidP="0048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09" w:rsidRDefault="007D3F09" w:rsidP="00484F84">
      <w:r>
        <w:separator/>
      </w:r>
    </w:p>
  </w:footnote>
  <w:footnote w:type="continuationSeparator" w:id="0">
    <w:p w:rsidR="007D3F09" w:rsidRDefault="007D3F09" w:rsidP="00484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046"/>
    <w:multiLevelType w:val="hybridMultilevel"/>
    <w:tmpl w:val="E7CE8A4A"/>
    <w:lvl w:ilvl="0" w:tplc="A288AC2A">
      <w:start w:val="1"/>
      <w:numFmt w:val="upperRoman"/>
      <w:pStyle w:val="Heading7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C78B8"/>
    <w:multiLevelType w:val="hybridMultilevel"/>
    <w:tmpl w:val="FB743F8A"/>
    <w:lvl w:ilvl="0" w:tplc="34C0F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763439"/>
    <w:multiLevelType w:val="hybridMultilevel"/>
    <w:tmpl w:val="651A2980"/>
    <w:lvl w:ilvl="0" w:tplc="908CE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F84"/>
    <w:rsid w:val="00286258"/>
    <w:rsid w:val="00484F84"/>
    <w:rsid w:val="007D3F09"/>
    <w:rsid w:val="00BA59D1"/>
    <w:rsid w:val="00C47CEC"/>
    <w:rsid w:val="00C805C9"/>
    <w:rsid w:val="00CB7B09"/>
    <w:rsid w:val="00DD01EE"/>
    <w:rsid w:val="00F2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84"/>
    <w:pPr>
      <w:spacing w:after="0" w:line="240" w:lineRule="auto"/>
    </w:pPr>
    <w:rPr>
      <w:rFonts w:ascii="Arial" w:hAnsi="Arial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484F84"/>
    <w:pPr>
      <w:numPr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84F84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84F84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4F84"/>
    <w:rPr>
      <w:rFonts w:ascii="Courier New" w:hAnsi="Courier New" w:cs="Times New Roman"/>
      <w:snapToGrid w:val="0"/>
      <w:szCs w:val="20"/>
    </w:rPr>
  </w:style>
  <w:style w:type="paragraph" w:styleId="EndnoteText">
    <w:name w:val="endnote text"/>
    <w:basedOn w:val="Normal"/>
    <w:link w:val="EndnoteTextChar"/>
    <w:semiHidden/>
    <w:rsid w:val="00484F84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84F84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484F84"/>
    <w:rPr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2447</Characters>
  <Application>Microsoft Office Word</Application>
  <DocSecurity>0</DocSecurity>
  <Lines>20</Lines>
  <Paragraphs>5</Paragraphs>
  <ScaleCrop>false</ScaleCrop>
  <Company>The George Washington University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kjablons</dc:creator>
  <cp:lastModifiedBy>kjablons</cp:lastModifiedBy>
  <cp:revision>3</cp:revision>
  <dcterms:created xsi:type="dcterms:W3CDTF">2015-02-09T18:43:00Z</dcterms:created>
  <dcterms:modified xsi:type="dcterms:W3CDTF">2015-02-09T18:50:00Z</dcterms:modified>
</cp:coreProperties>
</file>